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0" w:rsidRPr="00AD70C0" w:rsidRDefault="00AD70C0" w:rsidP="00AD70C0">
      <w:pPr>
        <w:keepNext/>
        <w:widowControl w:val="0"/>
        <w:spacing w:after="0" w:line="240" w:lineRule="auto"/>
        <w:outlineLvl w:val="3"/>
        <w:rPr>
          <w:rFonts w:ascii="PT Astra Serif" w:eastAsia="Times New Roman" w:hAnsi="PT Astra Serif" w:cs="Times New Roman"/>
          <w:bCs/>
          <w:caps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УТВЕРЖДЕН</w:t>
      </w:r>
    </w:p>
    <w:p w:rsidR="00AD70C0" w:rsidRPr="00AD70C0" w:rsidRDefault="00AD70C0" w:rsidP="00AD70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распоряжением председателя</w:t>
      </w:r>
    </w:p>
    <w:p w:rsidR="00AD70C0" w:rsidRPr="00AD70C0" w:rsidRDefault="00AD70C0" w:rsidP="00AD70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Контрольно-счетной палаты</w:t>
      </w:r>
    </w:p>
    <w:p w:rsidR="00AD70C0" w:rsidRPr="00AD70C0" w:rsidRDefault="00AD70C0" w:rsidP="00AD70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Пуровского района</w:t>
      </w:r>
    </w:p>
    <w:p w:rsidR="00AD70C0" w:rsidRPr="00AD70C0" w:rsidRDefault="00AD70C0" w:rsidP="00AD70C0">
      <w:pPr>
        <w:spacing w:after="0" w:line="240" w:lineRule="auto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от 03 марта 2021 г. № 11-П</w:t>
      </w: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</w:pPr>
      <w:r w:rsidRPr="00AD70C0"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  <w:t>Стандарт СФК № 101</w:t>
      </w: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</w:pPr>
      <w:r w:rsidRPr="00AD70C0"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  <w:t xml:space="preserve">Общие правила проведения </w:t>
      </w: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</w:pPr>
      <w:r w:rsidRPr="00AD70C0">
        <w:rPr>
          <w:rFonts w:ascii="PT Astra Serif" w:eastAsia="Arial" w:hAnsi="PT Astra Serif" w:cs="Calibri"/>
          <w:b/>
          <w:bCs/>
          <w:sz w:val="28"/>
          <w:szCs w:val="28"/>
          <w:lang w:eastAsia="ar-SA"/>
        </w:rPr>
        <w:t>экспертно-аналитического мероприятия</w:t>
      </w: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ind w:firstLine="1701"/>
        <w:jc w:val="center"/>
        <w:rPr>
          <w:rFonts w:ascii="PT Astra Serif" w:eastAsia="Arial" w:hAnsi="PT Astra Serif" w:cs="Calibri"/>
          <w:b/>
          <w:bCs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ind w:firstLine="1701"/>
        <w:jc w:val="center"/>
        <w:rPr>
          <w:rFonts w:ascii="PT Astra Serif" w:eastAsia="Arial" w:hAnsi="PT Astra Serif" w:cs="Calibri"/>
          <w:b/>
          <w:bCs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ind w:firstLine="1701"/>
        <w:jc w:val="center"/>
        <w:rPr>
          <w:rFonts w:ascii="PT Astra Serif" w:eastAsia="Arial" w:hAnsi="PT Astra Serif" w:cs="Calibri"/>
          <w:b/>
          <w:bCs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ind w:firstLine="1701"/>
        <w:jc w:val="center"/>
        <w:rPr>
          <w:rFonts w:ascii="PT Astra Serif" w:eastAsia="Arial" w:hAnsi="PT Astra Serif" w:cs="Calibri"/>
          <w:b/>
          <w:bCs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b/>
          <w:bCs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center"/>
        <w:rPr>
          <w:rFonts w:ascii="PT Astra Serif" w:eastAsia="Arial" w:hAnsi="PT Astra Serif" w:cs="Calibri"/>
          <w:b/>
          <w:bCs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after="0" w:line="240" w:lineRule="auto"/>
        <w:rPr>
          <w:rFonts w:ascii="PT Astra Serif" w:eastAsia="Arial" w:hAnsi="PT Astra Serif" w:cs="Calibri"/>
          <w:sz w:val="24"/>
          <w:szCs w:val="24"/>
          <w:lang w:eastAsia="ar-SA"/>
        </w:rPr>
      </w:pPr>
      <w:r w:rsidRPr="00AD70C0">
        <w:rPr>
          <w:rFonts w:ascii="PT Astra Serif" w:eastAsia="Arial" w:hAnsi="PT Astra Serif" w:cs="Calibri"/>
          <w:sz w:val="24"/>
          <w:szCs w:val="24"/>
          <w:lang w:eastAsia="ar-SA"/>
        </w:rPr>
        <w:t xml:space="preserve"> </w:t>
      </w: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widowControl w:val="0"/>
        <w:suppressAutoHyphens/>
        <w:autoSpaceDE w:val="0"/>
        <w:spacing w:before="280" w:after="280" w:line="240" w:lineRule="auto"/>
        <w:ind w:firstLine="1701"/>
        <w:jc w:val="right"/>
        <w:rPr>
          <w:rFonts w:ascii="PT Astra Serif" w:eastAsia="Arial" w:hAnsi="PT Astra Serif" w:cs="Calibri"/>
          <w:sz w:val="24"/>
          <w:szCs w:val="24"/>
          <w:lang w:eastAsia="ar-SA"/>
        </w:rPr>
      </w:pPr>
    </w:p>
    <w:p w:rsidR="00AD70C0" w:rsidRPr="00AD70C0" w:rsidRDefault="00AD70C0" w:rsidP="00AD70C0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Тарко</w:t>
      </w:r>
      <w:proofErr w:type="spellEnd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-Сале</w:t>
      </w:r>
    </w:p>
    <w:p w:rsidR="00AD70C0" w:rsidRPr="00AD70C0" w:rsidRDefault="00AD70C0" w:rsidP="00AD70C0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2021 год</w:t>
      </w:r>
    </w:p>
    <w:p w:rsidR="00AD70C0" w:rsidRPr="00AD70C0" w:rsidRDefault="00AD70C0" w:rsidP="00AD70C0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pacing w:val="-1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pacing w:val="-1"/>
          <w:sz w:val="24"/>
          <w:szCs w:val="24"/>
          <w:lang w:eastAsia="ru-RU"/>
        </w:rPr>
        <w:lastRenderedPageBreak/>
        <w:t>Содержание</w:t>
      </w:r>
    </w:p>
    <w:p w:rsidR="00AD70C0" w:rsidRPr="00AD70C0" w:rsidRDefault="00AD70C0" w:rsidP="00AD70C0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pacing w:val="-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850"/>
      </w:tblGrid>
      <w:tr w:rsidR="00AD70C0" w:rsidRPr="00AD70C0" w:rsidTr="00AC1366">
        <w:tc>
          <w:tcPr>
            <w:tcW w:w="851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 xml:space="preserve">Общие положения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AD70C0" w:rsidRPr="00AD70C0" w:rsidTr="00AC1366">
        <w:tc>
          <w:tcPr>
            <w:tcW w:w="851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Общая характеристика экспертно-аналитического мероприятия</w:t>
            </w:r>
          </w:p>
        </w:tc>
        <w:tc>
          <w:tcPr>
            <w:tcW w:w="850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AD70C0" w:rsidRPr="00AD70C0" w:rsidTr="00AC1366">
        <w:tc>
          <w:tcPr>
            <w:tcW w:w="851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Организация экспертно-аналитического мероприятия</w:t>
            </w:r>
          </w:p>
        </w:tc>
        <w:tc>
          <w:tcPr>
            <w:tcW w:w="850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AD70C0" w:rsidRPr="00AD70C0" w:rsidTr="00AC1366">
        <w:tc>
          <w:tcPr>
            <w:tcW w:w="851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к проведению экспертно-аналитического мероприятия</w:t>
            </w:r>
          </w:p>
        </w:tc>
        <w:tc>
          <w:tcPr>
            <w:tcW w:w="850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D70C0" w:rsidRPr="00AD70C0" w:rsidTr="00AC1366">
        <w:tc>
          <w:tcPr>
            <w:tcW w:w="851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Проведение экспертно-аналитического мероприятия и оформление</w:t>
            </w:r>
          </w:p>
          <w:p w:rsidR="00AD70C0" w:rsidRPr="00AD70C0" w:rsidRDefault="00AD70C0" w:rsidP="00AD70C0">
            <w:pPr>
              <w:spacing w:after="0" w:line="360" w:lineRule="auto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 xml:space="preserve">его результатов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AD70C0" w:rsidRPr="00AD70C0" w:rsidRDefault="00AD70C0" w:rsidP="00AD70C0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</w:tbl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pacing w:val="-1"/>
          <w:sz w:val="24"/>
          <w:szCs w:val="24"/>
          <w:highlight w:val="cyan"/>
          <w:lang w:eastAsia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D70C0" w:rsidRPr="00AD70C0" w:rsidTr="00AC1366">
        <w:tblPrEx>
          <w:tblCellMar>
            <w:top w:w="0" w:type="dxa"/>
            <w:bottom w:w="0" w:type="dxa"/>
          </w:tblCellMar>
        </w:tblPrEx>
        <w:tc>
          <w:tcPr>
            <w:tcW w:w="1985" w:type="dxa"/>
            <w:tcMar>
              <w:left w:w="0" w:type="dxa"/>
              <w:right w:w="57" w:type="dxa"/>
            </w:tcMar>
          </w:tcPr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Приложение № 1</w:t>
            </w: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7654" w:type="dxa"/>
            <w:tcBorders>
              <w:left w:val="nil"/>
            </w:tcBorders>
          </w:tcPr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Образец оформления п</w:t>
            </w:r>
            <w:r w:rsidRPr="00AD70C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рограммы</w:t>
            </w:r>
            <w:r w:rsidRPr="00AD70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проведения </w:t>
            </w:r>
            <w:r w:rsidRPr="00AD70C0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экспертно-аналитического</w:t>
            </w:r>
            <w:r w:rsidRPr="00AD70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Образец оформления р</w:t>
            </w: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абочего плана проведения экспертно-аналитического мероприятия</w:t>
            </w: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D70C0" w:rsidRPr="00AD70C0" w:rsidTr="00AC1366">
        <w:tblPrEx>
          <w:tblCellMar>
            <w:top w:w="0" w:type="dxa"/>
            <w:bottom w:w="0" w:type="dxa"/>
          </w:tblCellMar>
        </w:tblPrEx>
        <w:tc>
          <w:tcPr>
            <w:tcW w:w="1985" w:type="dxa"/>
            <w:tcMar>
              <w:left w:w="0" w:type="dxa"/>
              <w:right w:w="57" w:type="dxa"/>
            </w:tcMar>
          </w:tcPr>
          <w:p w:rsidR="00AD70C0" w:rsidRPr="00AD70C0" w:rsidRDefault="00AD70C0" w:rsidP="00AD70C0">
            <w:pPr>
              <w:widowControl w:val="0"/>
              <w:spacing w:after="0" w:line="36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7654" w:type="dxa"/>
            <w:tcBorders>
              <w:left w:val="nil"/>
            </w:tcBorders>
          </w:tcPr>
          <w:p w:rsidR="00AD70C0" w:rsidRPr="00AD70C0" w:rsidRDefault="00AD70C0" w:rsidP="00AD70C0">
            <w:pPr>
              <w:widowControl w:val="0"/>
              <w:spacing w:after="0" w:line="240" w:lineRule="auto"/>
              <w:ind w:right="-59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Образец оформления </w:t>
            </w: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уведомления о проведении экспертно-аналитического мероприятия</w:t>
            </w:r>
          </w:p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D70C0" w:rsidRPr="00AD70C0" w:rsidTr="00AC1366">
        <w:tblPrEx>
          <w:tblCellMar>
            <w:top w:w="0" w:type="dxa"/>
            <w:bottom w:w="0" w:type="dxa"/>
          </w:tblCellMar>
        </w:tblPrEx>
        <w:tc>
          <w:tcPr>
            <w:tcW w:w="1985" w:type="dxa"/>
            <w:tcMar>
              <w:left w:w="0" w:type="dxa"/>
              <w:right w:w="57" w:type="dxa"/>
            </w:tcMar>
          </w:tcPr>
          <w:p w:rsidR="00AD70C0" w:rsidRPr="00AD70C0" w:rsidRDefault="00AD70C0" w:rsidP="00AD70C0">
            <w:pPr>
              <w:widowControl w:val="0"/>
              <w:spacing w:after="0" w:line="36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7654" w:type="dxa"/>
            <w:tcBorders>
              <w:left w:val="nil"/>
            </w:tcBorders>
          </w:tcPr>
          <w:p w:rsidR="00AD70C0" w:rsidRPr="00AD70C0" w:rsidRDefault="00AD70C0" w:rsidP="00AD70C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70C0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Образец оформления </w:t>
            </w:r>
            <w:r w:rsidRPr="00AD70C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отчет (заключение) о результатах экспертно-аналитического мероприятия</w:t>
            </w:r>
          </w:p>
        </w:tc>
      </w:tr>
    </w:tbl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 Общие положения</w:t>
      </w:r>
    </w:p>
    <w:p w:rsidR="00AD70C0" w:rsidRPr="00AD70C0" w:rsidRDefault="00AD70C0" w:rsidP="00AD70C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1.1. Стандарт внешнего муниципального финансового контроля Контрольно-счетной палаты Пуровского района СФК № 101 «Общие правила проведения экспертно-аналитического мероприятия» (далее – Стандарт, Контрольно-счетная палата) разработан на основе стандарта внешнего муниципального финансового контроля СФК «Проведение экспертно-аналитического мероприятия», утвержденного решением Президиума Союза МКСО, протокол заседания Президиума Союза МКСО от 19.05.2013 № 2 (33).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1.2. Целью Стандарта является установление общих правил и процедур проведения Контрольно-счетной палатой экспертно-аналитических мероприятий.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1.3. Задачами Стандарта являются: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 определение содержания, принципов и процедур проведения экспертно-аналитического мероприятия;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1.4. Положения Стандарта не распространяются на подготовку заключений Контрольно-счетной палаты в рамках предварительного и последующего контроля, осуществление которого регулируется соответствующими стандартами и иными локальными документами Контрольно-счетной палаты.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1.5. Основные термины и понятия: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мониторинг – наблюдение, оценка, анализ и прогноз состояния отдельных процессов;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экономических и социальных процессов</w:t>
      </w:r>
      <w:proofErr w:type="gramEnd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 </w:t>
      </w:r>
    </w:p>
    <w:p w:rsidR="00AD70C0" w:rsidRPr="00AD70C0" w:rsidRDefault="00AD70C0" w:rsidP="00AD70C0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AD70C0" w:rsidRPr="00AD70C0" w:rsidRDefault="00AD70C0" w:rsidP="00AD70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2. Общая характеристика экспертно-аналитического мероприятия</w:t>
      </w:r>
    </w:p>
    <w:p w:rsidR="00AD70C0" w:rsidRPr="00AD70C0" w:rsidRDefault="00AD70C0" w:rsidP="00AD70C0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2.1. Экспертно-аналитическое мероприятие представляет собой  одну из организационных форм осуществления экспертно-аналитической деятельности Контрольно-счетной палаты, посредством которой обеспечивается реализация задач, функций и полномочий Контрольно-счетной палаты в сфере  внешнего муниципального финансового контроля.</w:t>
      </w:r>
    </w:p>
    <w:p w:rsidR="00AD70C0" w:rsidRPr="00AD70C0" w:rsidRDefault="00AD70C0" w:rsidP="00AD70C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2.2. Предметом экспертно-аналитического мероприятия</w:t>
      </w: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являются организация бюджетного процесса в муниципальном образовании муниципальный округ Пуровский район (далее – муниципальное образование),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AD70C0" w:rsidRPr="00AD70C0" w:rsidRDefault="00AD70C0" w:rsidP="00AD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  <w:t>2.3.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 </w:t>
      </w:r>
      <w:proofErr w:type="gramStart"/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Объектами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экспертно-аналитического мероприятия</w:t>
      </w: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являются </w:t>
      </w:r>
      <w:r w:rsidRPr="00AD70C0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</w:t>
      </w:r>
      <w:r w:rsidRPr="00AD70C0">
        <w:rPr>
          <w:rFonts w:ascii="PT Astra Serif" w:eastAsia="Times New Roman" w:hAnsi="PT Astra Serif" w:cs="Times New Roman"/>
          <w:i/>
          <w:spacing w:val="-5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на которые </w:t>
      </w:r>
      <w:r w:rsidRPr="00AD70C0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в рамках предмета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экспертно-аналитического мероприятия</w:t>
      </w:r>
      <w:r w:rsidRPr="00AD70C0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распространяются контрольные полномочия Контрольно-счетной палаты, установленные </w:t>
      </w:r>
      <w:r w:rsidRPr="00AD70C0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Федеральным законом от 07.02.2011 № 6-ФЗ «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D70C0">
        <w:rPr>
          <w:rFonts w:ascii="PT Astra Serif" w:eastAsia="Times New Roman" w:hAnsi="PT Astra Serif" w:cs="Times New Roman"/>
          <w:iCs/>
          <w:spacing w:val="-1"/>
          <w:sz w:val="24"/>
          <w:szCs w:val="24"/>
          <w:lang w:eastAsia="ru-RU"/>
        </w:rPr>
        <w:t xml:space="preserve">Бюджетным кодексом </w:t>
      </w:r>
      <w:r w:rsidRPr="00AD70C0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>Российской Федерации и иными нормативными</w:t>
      </w:r>
      <w:proofErr w:type="gramEnd"/>
      <w:r w:rsidRPr="00AD70C0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 xml:space="preserve"> правовыми актами Российской Федерации, Ямало-Ненецкого автономного округа и муниципального образования.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  <w:t>2.4.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 Эк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спертно-аналитическое мероприятие должно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быть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: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объективным -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proofErr w:type="gramStart"/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результативным</w:t>
      </w:r>
      <w:proofErr w:type="gramEnd"/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2.5. При проведении экспертно-аналитического мероприятия могут использоваться мониторинг, экспертиза, анализ и другие формы экспертно-аналитической деятельности.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AD70C0" w:rsidRPr="00AD70C0" w:rsidRDefault="00AD70C0" w:rsidP="00AD70C0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3.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Pr="00AD70C0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Организация экспе</w:t>
      </w:r>
      <w:bookmarkStart w:id="0" w:name="_Toc518912249"/>
      <w:r w:rsidRPr="00AD70C0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ртно-аналитического мероприятия</w:t>
      </w:r>
    </w:p>
    <w:bookmarkEnd w:id="0"/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3.1. Экспертно-аналитическое мероприятие проводится на основании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плана работы Контрольно-счетной палаты на текущий год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Сроки проведения экспертно-аналитического мероприятия определяются в соответствии с нормативно-правовыми актами Контрольно-счетной палаты и нормативно-правовыми актами муниципального образования.</w:t>
      </w:r>
    </w:p>
    <w:p w:rsidR="00AD70C0" w:rsidRPr="00AD70C0" w:rsidRDefault="00AD70C0" w:rsidP="00AD70C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eastAsia="Times New Roman" w:hAnsi="PT Astra Serif" w:cs="Times New Roman"/>
          <w:bCs/>
          <w:snapToGrid w:val="0"/>
          <w:color w:val="00000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snapToGrid w:val="0"/>
          <w:color w:val="000000"/>
          <w:sz w:val="24"/>
          <w:szCs w:val="24"/>
          <w:lang w:eastAsia="ru-RU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 w:rsidRPr="00AD70C0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 xml:space="preserve"> месту расположения </w:t>
      </w:r>
      <w:r w:rsidRPr="00AD70C0">
        <w:rPr>
          <w:rFonts w:ascii="PT Astra Serif" w:eastAsia="Times New Roman" w:hAnsi="PT Astra Serif" w:cs="Times New Roman"/>
          <w:bCs/>
          <w:snapToGrid w:val="0"/>
          <w:color w:val="000000"/>
          <w:sz w:val="24"/>
          <w:szCs w:val="24"/>
          <w:lang w:eastAsia="ru-RU"/>
        </w:rPr>
        <w:t>объектов мероприятия в соответствии с программой проведения данного мероприятия.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3.3. Организация 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подготовка к проведению экспертно-аналитического мероприятия;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проведение экспертно-аналитического мероприятия;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- оформление результатов экспертно-аналитического мероприятия.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3.4. На этапе</w:t>
      </w: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подготовки к проведению 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 и разрабатывается рабочий план проведения экспертно-аналитического мероприятия.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3.5. На этапе проведения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экспертно-аналитического мероприятия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осуществляется сбор и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AD70C0"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  <w:t xml:space="preserve">фиксируются в рабочей документации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экспертно-аналитического </w:t>
      </w:r>
      <w:r w:rsidRPr="00AD70C0"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  <w:t>мероприятия.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3.6. На этапе оформления результатов экспертно-аналитического мероприятия осуществляется подготовка </w:t>
      </w:r>
      <w:r w:rsidRPr="00AD70C0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отчета (заключения) о результатах экспертно-аналитического мероприятия, а также при необходимости проектов информационных писем Контрольно-счетной палаты.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3.7.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 Общую о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рганизацию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экспертно-аналитического мероприятия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осуществляет должностное лицо Контрольно-счетной палаты, ответственное за его проведение в соответствии с планом работы.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Непосредственное руководство проведением экспертно-аналитического мероприятия и координацию действий сотрудников Контрольно-счетной палаты и лиц, привлекаемых к участию в проведении мероприятия, осуществляет руководитель экспертно-аналитического мероприятия.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3.8. 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В экспертно-аналитическом мероприятии не имеют права принимать участие сотрудники Контрольно-счетной палаты, состоящие в родственной связи с руководством объектов</w:t>
      </w:r>
      <w:r w:rsidRPr="00AD70C0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экспертно-аналитического</w:t>
      </w:r>
      <w:r w:rsidRPr="00AD70C0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мероприятия (о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ни обязаны заявить о наличии таких связей). Запрещается привлекать к участию в экспертно-аналитическом мероприятии сотрудников Контрольно-счетной палаты, которые в исследуемом периоде были штатными сотрудниками одного из объектов экспертно-аналитического мероприятия.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 случае если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подготовки к проведению и проведения экспертно-аналитического мероприятия</w:t>
      </w:r>
      <w:r w:rsidRPr="00AD70C0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планируется использование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сведений, составляющих государственную </w:t>
      </w:r>
      <w:r w:rsidRPr="00AD70C0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тайну, в данном мероприятии должны принимать участие сотрудники Контрольно-счетной палаты, имеющие оформленный 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в установленном порядке допуск к таким сведениям.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3.9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 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участию в экспертно-аналитическом мероприятии могут привлекаться при необходимости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- внешние эксперты) в порядке, установленном Регламентом или иным нормативно-правовым документом Контрольно-счетной палаты.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3.10. </w:t>
      </w:r>
      <w:proofErr w:type="gramStart"/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В ходе подготовки к проведению и проведения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экспертно-аналитического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мероприятия формируется рабочая </w:t>
      </w:r>
      <w:r w:rsidRPr="00AD70C0">
        <w:rPr>
          <w:rFonts w:ascii="PT Astra Serif" w:eastAsia="Times New Roman" w:hAnsi="PT Astra Serif" w:cs="Times New Roman"/>
          <w:spacing w:val="12"/>
          <w:sz w:val="24"/>
          <w:szCs w:val="24"/>
          <w:lang w:eastAsia="ru-RU"/>
        </w:rPr>
        <w:t>документация мероприятия, к которой</w:t>
      </w:r>
      <w:r w:rsidRPr="00AD70C0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t xml:space="preserve"> относятся документы (их копии) и 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иные материалы, получаемые от объектов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экспертно-аналитического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pacing w:val="7"/>
          <w:sz w:val="24"/>
          <w:szCs w:val="24"/>
          <w:lang w:eastAsia="ru-RU"/>
        </w:rPr>
        <w:t xml:space="preserve">мероприятия, других государственных органов, организаций и учреждений, а также документы (справки, расчеты, аналитические записки </w:t>
      </w:r>
      <w:r w:rsidRPr="00AD70C0">
        <w:rPr>
          <w:rFonts w:ascii="PT Astra Serif" w:eastAsia="Times New Roman" w:hAnsi="PT Astra Serif" w:cs="Times New Roman"/>
          <w:spacing w:val="16"/>
          <w:sz w:val="24"/>
          <w:szCs w:val="24"/>
          <w:lang w:eastAsia="ru-RU"/>
        </w:rPr>
        <w:t xml:space="preserve">и т. д.), подготовленные сотрудниками Контрольно-счетной палаты 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самостоятельно на основе собранных фактических данных и информации.</w:t>
      </w:r>
      <w:proofErr w:type="gramEnd"/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порядке, </w:t>
      </w:r>
      <w:r w:rsidRPr="00AD70C0">
        <w:rPr>
          <w:rFonts w:ascii="PT Astra Serif" w:eastAsia="Times New Roman" w:hAnsi="PT Astra Serif" w:cs="Times New Roman"/>
          <w:spacing w:val="9"/>
          <w:sz w:val="24"/>
          <w:szCs w:val="24"/>
          <w:lang w:eastAsia="ru-RU"/>
        </w:rPr>
        <w:t xml:space="preserve">отражающем последовательность осуществления 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процедур подготовки и проведения мероприятия.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AD70C0" w:rsidRPr="00AD70C0" w:rsidRDefault="00AD70C0" w:rsidP="00AD70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4.</w:t>
      </w: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 Подготовка к проведению </w:t>
      </w:r>
      <w:r w:rsidRPr="00AD70C0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экспертно-аналитического мероприятия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4.1. 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Подготовка к проведению э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кспертно-аналитического мероприятия включает осуществление следующих действий: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предварительное изучение предмета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объектов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мероприятия;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определение цели (целей), вопросов и методов проведения мероприятия;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разработка и утверждение программы проведения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экспертно-аналитического мероприятия;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разработка рабочего плана проведения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экспертно-аналитического мероприятия.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4.2. 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Предварительное изучение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предмета и объектов </w:t>
      </w:r>
      <w:r w:rsidRPr="00AD70C0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t>экспертно-аналитического мероприятия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проводится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на основе полученной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информации и собранных 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материалов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Контрольно-счетной палаты о предоставлении информации.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4.3. По результатам предварительного изучения предмета и объектов экспертно-аналитического мероприятия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определяются цели и вопросы мероприятия,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методы его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проведения, а также объем необходимых аналитических процедур.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действия, которые необходимо выполнить для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t>4.4. 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По результатам предварительного изучения предмета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объектов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экспертно-аналитического мероприятия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pacing w:val="2"/>
          <w:sz w:val="24"/>
          <w:szCs w:val="24"/>
          <w:lang w:eastAsia="ru-RU"/>
        </w:rPr>
        <w:t>разрабатывается программа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проведения </w:t>
      </w: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экспертно-аналитического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мероприятия (Приложение 1), которая должна содержать следующие данные: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основание для проведения мероприятия (пункт плана работы Контрольно-счетной палаты);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предмет мероприятия;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объек</w:t>
      </w:r>
      <w:proofErr w:type="gramStart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т(</w:t>
      </w:r>
      <w:proofErr w:type="gramEnd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ы) мероприятия;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цель (цели) и вопросы мероприятия;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исследуемый период;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сроки проведения мероприятия;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состав ответственных исполнителей мероприятия;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срок представления отчета (заключения) о результатах экспертно-аналитического мероприятия на рассмотрение председателя Контрольно-счетной палаты.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4.5. 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процессе проведения э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кспертно-аналитического мероприятия</w:t>
      </w:r>
      <w:r w:rsidRPr="00AD70C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в его программу могут быть внесены изменения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утверждаемые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в соответствии с порядком, которым данная программа утверждалась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4.6.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 После утверждения программы проведения экспертно-аналитического мероприятия при необходимости осуществляется подготовка р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абочего плана  (Приложение 2) проведения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экспертно-аналитического мероприятия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Рабочий план проведения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экспертно-аналитического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4.7. 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3) о проведении экспертно-аналитического мероприятия на данных объектах.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К уведомлению могут прилагаться: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- 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специально разработанные для данного мероприятия формы, необходимые для систематизации представляемой информации.</w:t>
      </w:r>
    </w:p>
    <w:p w:rsidR="00AD70C0" w:rsidRPr="00AD70C0" w:rsidRDefault="00AD70C0" w:rsidP="00AD70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70C0" w:rsidRPr="00AD70C0" w:rsidRDefault="00AD70C0" w:rsidP="00AD70C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5. Проведение экспертно-аналитического мероприятия </w:t>
      </w:r>
    </w:p>
    <w:p w:rsidR="00AD70C0" w:rsidRPr="00AD70C0" w:rsidRDefault="00AD70C0" w:rsidP="00AD70C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 оформление его результатов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</w:pP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  <w:t>5.1.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 Экспертно-аналитическое мероприятие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на основе утвержденной программы проведения экспертно-аналитического мероприятия. 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spacing w:val="-1"/>
          <w:sz w:val="24"/>
          <w:szCs w:val="24"/>
          <w:lang w:eastAsia="ru-RU"/>
        </w:rPr>
        <w:t xml:space="preserve">5.2. В ходе проведения экспертно-аналитического мероприятия в соответствии с рабочим планом проведения мероприятия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осуществляется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Pr="00AD70C0"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  <w:t>и зафиксированных в его рабочей документации.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сотрудниками Контрольно-счетной палаты, участвующими в данном мероприятии, и включается в состав </w:t>
      </w:r>
      <w:r w:rsidRPr="00AD70C0"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  <w:t xml:space="preserve">рабочей документации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мероприятия</w:t>
      </w:r>
      <w:r w:rsidRPr="00AD70C0">
        <w:rPr>
          <w:rFonts w:ascii="PT Astra Serif" w:eastAsia="Times New Roman" w:hAnsi="PT Astra Serif" w:cs="Times New Roman"/>
          <w:iCs/>
          <w:spacing w:val="3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5.3. 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5.4.</w:t>
      </w:r>
      <w:r w:rsidRPr="00AD70C0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 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4), который должен содержать:</w:t>
      </w:r>
    </w:p>
    <w:p w:rsidR="00AD70C0" w:rsidRPr="00AD70C0" w:rsidRDefault="00AD70C0" w:rsidP="00AD70C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AD70C0" w:rsidRPr="00AD70C0" w:rsidRDefault="00AD70C0" w:rsidP="00AD70C0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proofErr w:type="gramStart"/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-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  <w:proofErr w:type="gramEnd"/>
    </w:p>
    <w:p w:rsidR="00AD70C0" w:rsidRPr="00AD70C0" w:rsidRDefault="00AD70C0" w:rsidP="00AD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- 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AD70C0" w:rsidRPr="00AD70C0" w:rsidRDefault="00AD70C0" w:rsidP="00AD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AD70C0" w:rsidRPr="00AD70C0" w:rsidRDefault="00AD70C0" w:rsidP="00AD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Кроме того, при необходимости отчет (заключение) может содержать приложения.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5.5. При подготовке отчета (заключения) о результатах экспертно-аналитического мероприятия следует</w:t>
      </w:r>
      <w:r w:rsidRPr="00AD70C0">
        <w:rPr>
          <w:rFonts w:ascii="PT Astra Serif" w:eastAsia="Times New Roman" w:hAnsi="PT Astra Serif" w:cs="Times New Roman"/>
          <w:bCs/>
          <w:snapToGrid w:val="0"/>
          <w:color w:val="000000"/>
          <w:sz w:val="24"/>
          <w:szCs w:val="24"/>
          <w:lang w:eastAsia="ru-RU"/>
        </w:rPr>
        <w:t xml:space="preserve"> руководствоваться следующими требованиями: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- отчет (заключение) должен включать только ту информацию, заключения и выводы, которые подтверждаются материалами </w:t>
      </w: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рабочей документации мероприятия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выводы в отчете (заключении) должны </w:t>
      </w:r>
      <w:bookmarkStart w:id="1" w:name="OCRUncertain322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быть аргументированными</w:t>
      </w:r>
      <w:bookmarkEnd w:id="1"/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отчете (заключении) необходимо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AD70C0" w:rsidRPr="00AD70C0" w:rsidRDefault="00AD70C0" w:rsidP="00AD70C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5.6. Содержание о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тчета (заключения) о результатах экспертно-аналитического мероприятия</w:t>
      </w:r>
      <w:r w:rsidRPr="00AD70C0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</w:t>
      </w:r>
      <w:r w:rsidRPr="00AD70C0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должно соответствовать:</w:t>
      </w:r>
    </w:p>
    <w:p w:rsidR="00AD70C0" w:rsidRPr="00AD70C0" w:rsidRDefault="00AD70C0" w:rsidP="00AD70C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требованиям Регламента Контрольно-счетной палаты. Стандарта и иных документов Контрольно-счетной палаты;</w:t>
      </w:r>
    </w:p>
    <w:p w:rsidR="00AD70C0" w:rsidRPr="00AD70C0" w:rsidRDefault="00AD70C0" w:rsidP="00AD70C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исходной постановке задачи, которая сформулирована в наименовании экспертно-аналитического мероприятия в плане работы Контрольно-счетной палаты;</w:t>
      </w:r>
    </w:p>
    <w:p w:rsidR="00AD70C0" w:rsidRPr="00AD70C0" w:rsidRDefault="00AD70C0" w:rsidP="00AD70C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программе проведения экспертно-аналитического мероприятия;</w:t>
      </w:r>
    </w:p>
    <w:p w:rsidR="00AD70C0" w:rsidRPr="00AD70C0" w:rsidRDefault="00AD70C0" w:rsidP="00AD70C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- рабочей документации мероприятия.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5.7. Подготовку отчета (заключения) о результатах экспертно-аналитического мероприятия организует должностное лицо Контрольно-счетной палаты, ответственное за проведение экспертно-аналитического мероприятия. </w:t>
      </w:r>
    </w:p>
    <w:p w:rsidR="00AD70C0" w:rsidRPr="00AD70C0" w:rsidRDefault="00AD70C0" w:rsidP="00AD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Отчет (заключение) о результатах экспертно-аналитического мероприятия вносится на рассмотрение председателю Контрольно-счетной палаты.</w:t>
      </w:r>
    </w:p>
    <w:p w:rsidR="00AD70C0" w:rsidRPr="00AD70C0" w:rsidRDefault="00AD70C0" w:rsidP="00AD70C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70C0">
        <w:rPr>
          <w:rFonts w:ascii="PT Astra Serif" w:eastAsia="Times New Roman" w:hAnsi="PT Astra Serif" w:cs="Times New Roman"/>
          <w:sz w:val="24"/>
          <w:szCs w:val="24"/>
          <w:lang w:eastAsia="ru-RU"/>
        </w:rPr>
        <w:t>5.8. Одновременно с отчетом (заключением) о результатах экспертно-аналитического мероприятия могут подготавливаться проекты информационных писем в органы местного самоуправления.</w:t>
      </w:r>
    </w:p>
    <w:p w:rsidR="00847709" w:rsidRDefault="00AD70C0">
      <w:bookmarkStart w:id="2" w:name="_GoBack"/>
      <w:bookmarkEnd w:id="2"/>
    </w:p>
    <w:sectPr w:rsidR="00847709" w:rsidSect="009B71E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134" w:right="566" w:bottom="1135" w:left="1418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AD70C0" w:rsidP="003622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0FE" w:rsidRDefault="00AD70C0" w:rsidP="005074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AD70C0" w:rsidP="00D07456">
    <w:pPr>
      <w:pStyle w:val="a5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AD70C0" w:rsidP="003622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0FE" w:rsidRDefault="00AD70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Pr="009B71E6" w:rsidRDefault="00AD70C0" w:rsidP="00E73FF2">
    <w:pPr>
      <w:pStyle w:val="a3"/>
      <w:framePr w:wrap="around" w:vAnchor="text" w:hAnchor="margin" w:xAlign="center" w:y="1"/>
      <w:rPr>
        <w:rStyle w:val="a7"/>
        <w:rFonts w:ascii="PT Astra Serif" w:hAnsi="PT Astra Serif"/>
        <w:sz w:val="24"/>
        <w:szCs w:val="24"/>
      </w:rPr>
    </w:pPr>
    <w:r w:rsidRPr="009B71E6">
      <w:rPr>
        <w:rStyle w:val="a7"/>
        <w:rFonts w:ascii="PT Astra Serif" w:hAnsi="PT Astra Serif"/>
        <w:sz w:val="24"/>
        <w:szCs w:val="24"/>
      </w:rPr>
      <w:fldChar w:fldCharType="begin"/>
    </w:r>
    <w:r w:rsidRPr="009B71E6">
      <w:rPr>
        <w:rStyle w:val="a7"/>
        <w:rFonts w:ascii="PT Astra Serif" w:hAnsi="PT Astra Serif"/>
        <w:sz w:val="24"/>
        <w:szCs w:val="24"/>
      </w:rPr>
      <w:instrText xml:space="preserve">PAGE  </w:instrText>
    </w:r>
    <w:r w:rsidRPr="009B71E6">
      <w:rPr>
        <w:rStyle w:val="a7"/>
        <w:rFonts w:ascii="PT Astra Serif" w:hAnsi="PT Astra Serif"/>
        <w:sz w:val="24"/>
        <w:szCs w:val="24"/>
      </w:rPr>
      <w:fldChar w:fldCharType="separate"/>
    </w:r>
    <w:r>
      <w:rPr>
        <w:rStyle w:val="a7"/>
        <w:rFonts w:ascii="PT Astra Serif" w:hAnsi="PT Astra Serif"/>
        <w:noProof/>
        <w:sz w:val="24"/>
        <w:szCs w:val="24"/>
      </w:rPr>
      <w:t>8</w:t>
    </w:r>
    <w:r w:rsidRPr="009B71E6">
      <w:rPr>
        <w:rStyle w:val="a7"/>
        <w:rFonts w:ascii="PT Astra Serif" w:hAnsi="PT Astra Serif"/>
        <w:sz w:val="24"/>
        <w:szCs w:val="24"/>
      </w:rPr>
      <w:fldChar w:fldCharType="end"/>
    </w:r>
  </w:p>
  <w:p w:rsidR="002E30FE" w:rsidRDefault="00AD70C0" w:rsidP="00362239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F"/>
    <w:rsid w:val="00157630"/>
    <w:rsid w:val="008706FC"/>
    <w:rsid w:val="00AD70C0"/>
    <w:rsid w:val="00B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0C0"/>
  </w:style>
  <w:style w:type="paragraph" w:styleId="a5">
    <w:name w:val="footer"/>
    <w:basedOn w:val="a"/>
    <w:link w:val="a6"/>
    <w:uiPriority w:val="99"/>
    <w:semiHidden/>
    <w:unhideWhenUsed/>
    <w:rsid w:val="00AD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0C0"/>
  </w:style>
  <w:style w:type="character" w:styleId="a7">
    <w:name w:val="page number"/>
    <w:rsid w:val="00AD70C0"/>
    <w:rPr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0C0"/>
  </w:style>
  <w:style w:type="paragraph" w:styleId="a5">
    <w:name w:val="footer"/>
    <w:basedOn w:val="a"/>
    <w:link w:val="a6"/>
    <w:uiPriority w:val="99"/>
    <w:semiHidden/>
    <w:unhideWhenUsed/>
    <w:rsid w:val="00AD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0C0"/>
  </w:style>
  <w:style w:type="character" w:styleId="a7">
    <w:name w:val="page number"/>
    <w:rsid w:val="00AD70C0"/>
    <w:rPr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2757</Words>
  <Characters>15716</Characters>
  <Application>Microsoft Office Word</Application>
  <DocSecurity>0</DocSecurity>
  <Lines>130</Lines>
  <Paragraphs>36</Paragraphs>
  <ScaleCrop>false</ScaleCrop>
  <Company/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Карпенко</dc:creator>
  <cp:keywords/>
  <dc:description/>
  <cp:lastModifiedBy>Игорь Карпенко</cp:lastModifiedBy>
  <cp:revision>2</cp:revision>
  <dcterms:created xsi:type="dcterms:W3CDTF">2021-06-30T11:17:00Z</dcterms:created>
  <dcterms:modified xsi:type="dcterms:W3CDTF">2021-06-30T11:18:00Z</dcterms:modified>
</cp:coreProperties>
</file>