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Pr="00AD70C0" w:rsidRDefault="00AD70C0" w:rsidP="00AD70C0">
      <w:pPr>
        <w:keepNext/>
        <w:widowControl w:val="0"/>
        <w:spacing w:after="0" w:line="240" w:lineRule="auto"/>
        <w:outlineLvl w:val="3"/>
        <w:rPr>
          <w:rFonts w:ascii="PT Astra Serif" w:eastAsia="Times New Roman" w:hAnsi="PT Astra Serif" w:cs="Times New Roman"/>
          <w:bCs/>
          <w:caps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УТВЕРЖДЕН</w:t>
      </w:r>
    </w:p>
    <w:p w:rsidR="00AD70C0" w:rsidRPr="00AD70C0" w:rsidRDefault="00AD70C0" w:rsidP="00AD70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распоряжением председателя</w:t>
      </w:r>
    </w:p>
    <w:p w:rsidR="00AD70C0" w:rsidRPr="00AD70C0" w:rsidRDefault="00AD70C0" w:rsidP="00AD70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Контрольно-счетной палаты</w:t>
      </w:r>
    </w:p>
    <w:p w:rsidR="00AD70C0" w:rsidRPr="00AD70C0" w:rsidRDefault="00AD70C0" w:rsidP="00AD70C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Пуровского района</w:t>
      </w:r>
    </w:p>
    <w:p w:rsidR="00AD70C0" w:rsidRPr="00AD70C0" w:rsidRDefault="00AD70C0" w:rsidP="00AD70C0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от 03 марта 2021 г. № 11-П</w:t>
      </w: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</w:pPr>
      <w:r w:rsidRPr="00AD70C0"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  <w:t>Стандарт СФК № 101</w:t>
      </w: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</w:pPr>
      <w:r w:rsidRPr="00AD70C0"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  <w:t xml:space="preserve">Общие правила проведения </w:t>
      </w: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</w:pPr>
      <w:r w:rsidRPr="00AD70C0">
        <w:rPr>
          <w:rFonts w:ascii="PT Astra Serif" w:eastAsia="Arial" w:hAnsi="PT Astra Serif" w:cs="Calibri"/>
          <w:b/>
          <w:bCs/>
          <w:sz w:val="28"/>
          <w:szCs w:val="28"/>
          <w:lang w:eastAsia="ar-SA"/>
        </w:rPr>
        <w:t>экспертно-аналитического мероприятия</w:t>
      </w: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PT Astra Serif" w:eastAsia="Arial" w:hAnsi="PT Astra Serif" w:cs="Calibri"/>
          <w:b/>
          <w:bCs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after="0" w:line="240" w:lineRule="auto"/>
        <w:rPr>
          <w:rFonts w:ascii="PT Astra Serif" w:eastAsia="Arial" w:hAnsi="PT Astra Serif" w:cs="Calibri"/>
          <w:sz w:val="24"/>
          <w:szCs w:val="24"/>
          <w:lang w:eastAsia="ar-SA"/>
        </w:rPr>
      </w:pPr>
      <w:r w:rsidRPr="00AD70C0">
        <w:rPr>
          <w:rFonts w:ascii="PT Astra Serif" w:eastAsia="Arial" w:hAnsi="PT Astra Serif" w:cs="Calibri"/>
          <w:sz w:val="24"/>
          <w:szCs w:val="24"/>
          <w:lang w:eastAsia="ar-SA"/>
        </w:rPr>
        <w:t xml:space="preserve"> </w:t>
      </w: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widowControl w:val="0"/>
        <w:suppressAutoHyphens/>
        <w:autoSpaceDE w:val="0"/>
        <w:spacing w:before="280" w:after="280" w:line="240" w:lineRule="auto"/>
        <w:ind w:firstLine="1701"/>
        <w:jc w:val="right"/>
        <w:rPr>
          <w:rFonts w:ascii="PT Astra Serif" w:eastAsia="Arial" w:hAnsi="PT Astra Serif" w:cs="Calibri"/>
          <w:sz w:val="24"/>
          <w:szCs w:val="24"/>
          <w:lang w:eastAsia="ar-SA"/>
        </w:rPr>
      </w:pPr>
    </w:p>
    <w:p w:rsidR="00AD70C0" w:rsidRPr="00AD70C0" w:rsidRDefault="00AD70C0" w:rsidP="00AD70C0">
      <w:pPr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Тарко</w:t>
      </w:r>
      <w:proofErr w:type="spellEnd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-Сале</w:t>
      </w:r>
    </w:p>
    <w:p w:rsidR="00AD70C0" w:rsidRPr="00AD70C0" w:rsidRDefault="00AD70C0" w:rsidP="00AD70C0">
      <w:pPr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2021 год</w:t>
      </w:r>
    </w:p>
    <w:p w:rsidR="00AD70C0" w:rsidRPr="00AD70C0" w:rsidRDefault="00AD70C0" w:rsidP="00AD70C0">
      <w:pPr>
        <w:spacing w:after="0" w:line="240" w:lineRule="auto"/>
        <w:ind w:right="-1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pacing w:val="-1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pacing w:val="-1"/>
          <w:sz w:val="24"/>
          <w:szCs w:val="24"/>
          <w:lang w:eastAsia="ru-RU"/>
        </w:rPr>
        <w:lastRenderedPageBreak/>
        <w:t>Содержание</w:t>
      </w:r>
    </w:p>
    <w:p w:rsidR="00AD70C0" w:rsidRPr="00AD70C0" w:rsidRDefault="00AD70C0" w:rsidP="00AD70C0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pacing w:val="-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850"/>
      </w:tblGrid>
      <w:tr w:rsidR="00AD70C0" w:rsidRPr="00AD70C0" w:rsidTr="00AC1366">
        <w:tc>
          <w:tcPr>
            <w:tcW w:w="851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 xml:space="preserve">Общие положения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AD70C0" w:rsidRPr="00AD70C0" w:rsidTr="00AC1366">
        <w:tc>
          <w:tcPr>
            <w:tcW w:w="851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Общая характеристика экспертно-аналитического мероприятия</w:t>
            </w:r>
          </w:p>
        </w:tc>
        <w:tc>
          <w:tcPr>
            <w:tcW w:w="850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AD70C0" w:rsidRPr="00AD70C0" w:rsidTr="00AC1366">
        <w:tc>
          <w:tcPr>
            <w:tcW w:w="851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Организация экспертно-аналитического мероприятия</w:t>
            </w:r>
          </w:p>
        </w:tc>
        <w:tc>
          <w:tcPr>
            <w:tcW w:w="850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AD70C0" w:rsidRPr="00AD70C0" w:rsidTr="00AC1366">
        <w:tc>
          <w:tcPr>
            <w:tcW w:w="851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Подготовка к проведению экспертно-аналитического мероприятия</w:t>
            </w:r>
          </w:p>
        </w:tc>
        <w:tc>
          <w:tcPr>
            <w:tcW w:w="850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AD70C0" w:rsidRPr="00AD70C0" w:rsidTr="00AC1366">
        <w:tc>
          <w:tcPr>
            <w:tcW w:w="851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Проведение экспертно-аналитического мероприятия и оформление</w:t>
            </w:r>
          </w:p>
          <w:p w:rsidR="00AD70C0" w:rsidRPr="00AD70C0" w:rsidRDefault="00AD70C0" w:rsidP="00AD70C0">
            <w:pPr>
              <w:spacing w:after="0" w:line="360" w:lineRule="auto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 xml:space="preserve">его результатов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AD70C0" w:rsidRPr="00AD70C0" w:rsidRDefault="00AD70C0" w:rsidP="00AD70C0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</w:tbl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highlight w:val="cyan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AD70C0" w:rsidRPr="00AD70C0" w:rsidTr="00AC13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Mar>
              <w:left w:w="0" w:type="dxa"/>
              <w:right w:w="57" w:type="dxa"/>
            </w:tcMar>
          </w:tcPr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Приложение № 1</w:t>
            </w: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7654" w:type="dxa"/>
            <w:tcBorders>
              <w:left w:val="nil"/>
            </w:tcBorders>
          </w:tcPr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Образец оформления п</w:t>
            </w:r>
            <w:r w:rsidRPr="00AD70C0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lang w:eastAsia="ru-RU"/>
              </w:rPr>
              <w:t>рограммы</w:t>
            </w: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AD70C0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  <w:lang w:eastAsia="ru-RU"/>
              </w:rPr>
              <w:t>экспертно-аналитического</w:t>
            </w: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Образец оформления р</w:t>
            </w: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абочего плана проведения экспертно-аналитического мероприятия</w:t>
            </w: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D70C0" w:rsidRPr="00AD70C0" w:rsidTr="00AC13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Mar>
              <w:left w:w="0" w:type="dxa"/>
              <w:right w:w="57" w:type="dxa"/>
            </w:tcMar>
          </w:tcPr>
          <w:p w:rsidR="00AD70C0" w:rsidRPr="00AD70C0" w:rsidRDefault="00AD70C0" w:rsidP="00AD70C0">
            <w:pPr>
              <w:widowControl w:val="0"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7654" w:type="dxa"/>
            <w:tcBorders>
              <w:left w:val="nil"/>
            </w:tcBorders>
          </w:tcPr>
          <w:p w:rsidR="00AD70C0" w:rsidRPr="00AD70C0" w:rsidRDefault="00AD70C0" w:rsidP="00AD70C0">
            <w:pPr>
              <w:widowControl w:val="0"/>
              <w:spacing w:after="0" w:line="240" w:lineRule="auto"/>
              <w:ind w:right="-59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Образец оформления </w:t>
            </w: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уведомления о проведении экспертно-аналитического мероприятия</w:t>
            </w:r>
          </w:p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D70C0" w:rsidRPr="00AD70C0" w:rsidTr="00AC13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Mar>
              <w:left w:w="0" w:type="dxa"/>
              <w:right w:w="57" w:type="dxa"/>
            </w:tcMar>
          </w:tcPr>
          <w:p w:rsidR="00AD70C0" w:rsidRPr="00AD70C0" w:rsidRDefault="00AD70C0" w:rsidP="00AD70C0">
            <w:pPr>
              <w:widowControl w:val="0"/>
              <w:spacing w:after="0" w:line="36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7654" w:type="dxa"/>
            <w:tcBorders>
              <w:left w:val="nil"/>
            </w:tcBorders>
          </w:tcPr>
          <w:p w:rsidR="00AD70C0" w:rsidRPr="00AD70C0" w:rsidRDefault="00AD70C0" w:rsidP="00AD70C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70C0">
              <w:rPr>
                <w:rFonts w:ascii="PT Astra Serif" w:eastAsia="Times New Roman" w:hAnsi="PT Astra Serif" w:cs="Times New Roman"/>
                <w:snapToGrid w:val="0"/>
                <w:sz w:val="24"/>
                <w:szCs w:val="24"/>
                <w:lang w:eastAsia="ru-RU"/>
              </w:rPr>
              <w:t xml:space="preserve">Образец оформления </w:t>
            </w:r>
            <w:r w:rsidRPr="00AD70C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отчет (заключение) о результатах экспертно-аналитического мероприятия</w:t>
            </w:r>
          </w:p>
        </w:tc>
      </w:tr>
    </w:tbl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 Общие положения</w:t>
      </w:r>
    </w:p>
    <w:p w:rsidR="00AD70C0" w:rsidRPr="00AD70C0" w:rsidRDefault="00AD70C0" w:rsidP="00AD70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1.1. Стандарт внешнего муниципального финансового контроля Контрольно-счетной палаты Пуровского района СФК № 101 «Общие правила проведения экспертно-аналитического мероприятия» (далее – Стандарт, Контрольно-счетная палата) разработан на основе стандарта внешнего муниципального финансового контроля СФК «Проведение экспертно-аналитического мероприятия», утвержденного решением Президиума Союза МКСО, протокол заседания Президиума Союза МКСО от 19.05.2013 № 2 (33).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 Целью Стандарта является установление общих правил и процедур проведения Контрольно-счетной палатой экспертно-аналитических мероприятий.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1.3. Задачами Стандарта являются: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 определение содержания, принципов и процедур проведения экспертно-аналитического мероприятия;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 Положения Стандарта не распространяются на подготовку заключений Контрольно-счетной палаты в рамках предварительного и последующего контроля, осуществление которого регулируется соответствующими стандартами и иными локальными документами Контрольно-счетной палаты.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1.5. Основные термины и понятия: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мониторинг – наблюдение, оценка, анализ и прогноз состояния отдельных процессов;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экономических и социальных процессов</w:t>
      </w:r>
      <w:proofErr w:type="gramEnd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AD70C0" w:rsidRPr="00AD70C0" w:rsidRDefault="00AD70C0" w:rsidP="00AD70C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2. Общая характеристика экспертно-аналитического мероприятия</w:t>
      </w:r>
    </w:p>
    <w:p w:rsidR="00AD70C0" w:rsidRPr="00AD70C0" w:rsidRDefault="00AD70C0" w:rsidP="00AD70C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2.1. Экспертно-аналитическое мероприятие представляет собой  одну из организационных форм осуществления экспертно-аналитической деятельности Контрольно-счетной палаты, посредством которой обеспечивается реализация задач, функций и полномочий Контрольно-счетной палаты в сфере  внешнего муниципального финансового контроля.</w:t>
      </w:r>
    </w:p>
    <w:p w:rsidR="00AD70C0" w:rsidRPr="00AD70C0" w:rsidRDefault="00AD70C0" w:rsidP="00AD70C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2.2. Предметом экспертно-аналитического мероприятия</w:t>
      </w: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являются организация бюджетного процесса в муниципальном образовании муниципальный округ Пуровский район (далее – муниципальное образование),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AD70C0" w:rsidRP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ru-RU"/>
        </w:rPr>
        <w:t>2.3.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 </w:t>
      </w:r>
      <w:proofErr w:type="gramStart"/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Объектами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являются </w:t>
      </w:r>
      <w:r w:rsidRPr="00AD70C0">
        <w:rPr>
          <w:rFonts w:ascii="PT Astra Serif" w:eastAsia="Times New Roman" w:hAnsi="PT Astra Serif" w:cs="Times New Roman"/>
          <w:spacing w:val="-5"/>
          <w:sz w:val="24"/>
          <w:szCs w:val="24"/>
          <w:lang w:eastAsia="ru-RU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AD70C0">
        <w:rPr>
          <w:rFonts w:ascii="PT Astra Serif" w:eastAsia="Times New Roman" w:hAnsi="PT Astra Serif" w:cs="Times New Roman"/>
          <w:i/>
          <w:spacing w:val="-5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pacing w:val="-5"/>
          <w:sz w:val="24"/>
          <w:szCs w:val="24"/>
          <w:lang w:eastAsia="ru-RU"/>
        </w:rPr>
        <w:t xml:space="preserve">на которые </w:t>
      </w:r>
      <w:r w:rsidRPr="00AD70C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в рамках предмета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Pr="00AD70C0">
        <w:rPr>
          <w:rFonts w:ascii="PT Astra Serif" w:eastAsia="Times New Roman" w:hAnsi="PT Astra Serif" w:cs="Times New Roman"/>
          <w:spacing w:val="-5"/>
          <w:sz w:val="24"/>
          <w:szCs w:val="24"/>
          <w:lang w:eastAsia="ru-RU"/>
        </w:rPr>
        <w:t xml:space="preserve"> распространяются контрольные полномочия Контрольно-счетной палаты, установленные </w:t>
      </w:r>
      <w:r w:rsidRPr="00AD70C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Федеральным законом от 07.02.2011 № 6-ФЗ «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D70C0">
        <w:rPr>
          <w:rFonts w:ascii="PT Astra Serif" w:eastAsia="Times New Roman" w:hAnsi="PT Astra Serif" w:cs="Times New Roman"/>
          <w:iCs/>
          <w:spacing w:val="-1"/>
          <w:sz w:val="24"/>
          <w:szCs w:val="24"/>
          <w:lang w:eastAsia="ru-RU"/>
        </w:rPr>
        <w:t xml:space="preserve">Бюджетным кодексом </w:t>
      </w:r>
      <w:r w:rsidRPr="00AD70C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Российской Федерации и иными нормативными</w:t>
      </w:r>
      <w:proofErr w:type="gramEnd"/>
      <w:r w:rsidRPr="00AD70C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 xml:space="preserve"> правовыми актами Российской Федерации, Ямало-Ненецкого автономного округа и муниципального образования.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ru-RU"/>
        </w:rPr>
        <w:t>2.4.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 Эк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спертно-аналитическое мероприятие должно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быть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: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объективным -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gramStart"/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результативным</w:t>
      </w:r>
      <w:proofErr w:type="gramEnd"/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2.5. При проведении экспертно-аналитического мероприятия могут использоваться мониторинг, экспертиза, анализ и другие формы экспертно-аналитической деятельности.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3.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Организация экспе</w:t>
      </w:r>
      <w:bookmarkStart w:id="0" w:name="_Toc518912249"/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ртно-аналитического мероприятия</w:t>
      </w:r>
    </w:p>
    <w:bookmarkEnd w:id="0"/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3.1. Экспертно-аналитическое мероприятие проводится на основании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плана работы Контрольно-счетной палаты на текущий год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Сроки проведения экспертно-аналитического мероприятия определяются в соответствии с нормативно-правовыми актами Контрольно-счетной палаты и нормативно-правовыми актами муниципального образования.</w:t>
      </w:r>
    </w:p>
    <w:p w:rsidR="00AD70C0" w:rsidRP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eastAsia="Times New Roman" w:hAnsi="PT Astra Serif" w:cs="Times New Roman"/>
          <w:bCs/>
          <w:snapToGrid w:val="0"/>
          <w:color w:val="00000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napToGrid w:val="0"/>
          <w:color w:val="000000"/>
          <w:sz w:val="24"/>
          <w:szCs w:val="24"/>
          <w:lang w:eastAsia="ru-RU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AD70C0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 xml:space="preserve"> месту расположения </w:t>
      </w:r>
      <w:r w:rsidRPr="00AD70C0">
        <w:rPr>
          <w:rFonts w:ascii="PT Astra Serif" w:eastAsia="Times New Roman" w:hAnsi="PT Astra Serif" w:cs="Times New Roman"/>
          <w:bCs/>
          <w:snapToGrid w:val="0"/>
          <w:color w:val="000000"/>
          <w:sz w:val="24"/>
          <w:szCs w:val="24"/>
          <w:lang w:eastAsia="ru-RU"/>
        </w:rPr>
        <w:t>объектов мероприятия в соответствии с программой проведения данного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3.3. Организация 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э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подготовка к проведению экспертно-аналитического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проведение экспертно-аналитического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оформление результатов экспертно-аналитического мероприятия.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3.4. На этапе</w:t>
      </w: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подготовки к проведению 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э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 и разрабатывается рабочий план проведения экспертно-аналитического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3.5. На этапе проведения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экспертно-аналитического мероприятия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осуществляется сбор 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AD70C0"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  <w:t xml:space="preserve">фиксируются в рабочей документации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экспертно-аналитического </w:t>
      </w:r>
      <w:r w:rsidRPr="00AD70C0"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  <w:t>мероприятия.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AD70C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отчета (заключения) о результатах экспертно-аналитического мероприятия, а также при необходимости проектов информационных писем Контрольно-счетной палаты.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3.7.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 Общую о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рганизацию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экспертно-аналитического мероприятия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осуществляет должностное лицо Контрольно-счетной палаты, ответственное за его проведение в соответствии с планом работы.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Непосредственное руководство проведением экспертно-аналитического мероприятия и координацию действий сотрудников Контрольно-счетной палаты и лиц, привлекаемых к участию в проведении мероприятия, осуществляет руководитель экспертно-аналитического мероприятия.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3.8. 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 экспертно-аналитическом мероприятии не имеют права принимать участие сотрудники Контрольно-счетной палаты, состоящие в родственной связи с руководством объектов</w:t>
      </w:r>
      <w:r w:rsidRPr="00AD70C0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экспертно-аналитического</w:t>
      </w:r>
      <w:r w:rsidRPr="00AD70C0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 мероприятия (о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ни обязаны заявить о наличии таких связей). Запрещается привлекать к участию в экспертно-аналитическом мероприятии сотрудников Контрольно-счетной палаты, которые в исследуемом периоде были штатными сотрудниками одного из объектов экспертно-аналитического мероприятия.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 случае если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подготовки к проведению и проведения экспертно-аналитического мероприятия</w:t>
      </w:r>
      <w:r w:rsidRPr="00AD70C0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планируется использование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сведений, составляющих государственную </w:t>
      </w:r>
      <w:r w:rsidRPr="00AD70C0">
        <w:rPr>
          <w:rFonts w:ascii="PT Astra Serif" w:eastAsia="Times New Roman" w:hAnsi="PT Astra Serif" w:cs="Times New Roman"/>
          <w:spacing w:val="1"/>
          <w:sz w:val="24"/>
          <w:szCs w:val="24"/>
          <w:lang w:eastAsia="ru-RU"/>
        </w:rPr>
        <w:t xml:space="preserve">тайну, в данном мероприятии должны принимать участие сотрудники Контрольно-счетной палаты, имеющие оформленный 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в установленном порядке допуск к таким сведениям.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3.9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 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участию в экспертно-аналитическом мероприятии могут привлекаться при необходимости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внешние эксперты) в порядке, установленном Регламентом или иным нормативно-правовым документом Контрольно-счетной палаты.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3.10. </w:t>
      </w:r>
      <w:proofErr w:type="gramStart"/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В ходе подготовки к проведению и проведения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экспертно-аналитического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мероприятия формируется рабочая </w:t>
      </w:r>
      <w:r w:rsidRPr="00AD70C0">
        <w:rPr>
          <w:rFonts w:ascii="PT Astra Serif" w:eastAsia="Times New Roman" w:hAnsi="PT Astra Serif" w:cs="Times New Roman"/>
          <w:spacing w:val="12"/>
          <w:sz w:val="24"/>
          <w:szCs w:val="24"/>
          <w:lang w:eastAsia="ru-RU"/>
        </w:rPr>
        <w:t>документация мероприятия, к которой</w:t>
      </w:r>
      <w:r w:rsidRPr="00AD70C0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 xml:space="preserve"> относятся документы (их копии) и 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иные материалы, получаемые от объектов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экспертно-аналитического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pacing w:val="7"/>
          <w:sz w:val="24"/>
          <w:szCs w:val="24"/>
          <w:lang w:eastAsia="ru-RU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AD70C0">
        <w:rPr>
          <w:rFonts w:ascii="PT Astra Serif" w:eastAsia="Times New Roman" w:hAnsi="PT Astra Serif" w:cs="Times New Roman"/>
          <w:spacing w:val="16"/>
          <w:sz w:val="24"/>
          <w:szCs w:val="24"/>
          <w:lang w:eastAsia="ru-RU"/>
        </w:rPr>
        <w:t xml:space="preserve">и т. д.), подготовленные сотрудниками Контрольно-счетной палаты 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самостоятельно на основе собранных фактических данных и информации.</w:t>
      </w:r>
      <w:proofErr w:type="gramEnd"/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порядке, </w:t>
      </w:r>
      <w:r w:rsidRPr="00AD70C0">
        <w:rPr>
          <w:rFonts w:ascii="PT Astra Serif" w:eastAsia="Times New Roman" w:hAnsi="PT Astra Serif" w:cs="Times New Roman"/>
          <w:spacing w:val="9"/>
          <w:sz w:val="24"/>
          <w:szCs w:val="24"/>
          <w:lang w:eastAsia="ru-RU"/>
        </w:rPr>
        <w:t xml:space="preserve">отражающем последовательность осуществления 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процедур подготовки и проведения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4.</w:t>
      </w: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 Подготовка к проведению </w:t>
      </w:r>
      <w:r w:rsidRPr="00AD70C0">
        <w:rPr>
          <w:rFonts w:ascii="PT Astra Serif" w:eastAsia="Times New Roman" w:hAnsi="PT Astra Serif" w:cs="Times New Roman"/>
          <w:b/>
          <w:snapToGrid w:val="0"/>
          <w:sz w:val="24"/>
          <w:szCs w:val="24"/>
          <w:lang w:eastAsia="ru-RU"/>
        </w:rPr>
        <w:t>экспертно-аналитического мероприятия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4.1. 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Подготовка к проведению э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кспертно-аналитического мероприятия включает осуществление следующих действий: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предварительное изучение предмета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объектов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определение цели (целей), вопросов и методов проведения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разработка и утверждение программы проведения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экспертно-аналитического мероприятия;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разработка рабочего плана проведения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экспертно-аналитического мероприятия.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4.2. 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Предварительное изучение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предмета и объектов </w:t>
      </w:r>
      <w:r w:rsidRPr="00AD70C0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экспертно-аналитического мероприятия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проводится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 основе полученной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информации и собранных 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материалов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Контрольно-счетной палаты о предоставлении информации.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4.3. По результатам предварительного изучения предмета и объектов экспертно-аналитического мероприятия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определяются цели и вопросы мероприятия,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методы его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проведения, а также объем необходимых аналитических процедур.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действия, которые необходимо выполнить для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4.4. 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По результатам предварительного изучения предмета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объектов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 xml:space="preserve"> экспертно-аналитического мероприятия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pacing w:val="2"/>
          <w:sz w:val="24"/>
          <w:szCs w:val="24"/>
          <w:lang w:eastAsia="ru-RU"/>
        </w:rPr>
        <w:t>разрабатывается программа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</w:t>
      </w: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экспертно-аналитического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мероприятия (Приложение 1), которая должна содержать следующие данные: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основание для проведения мероприятия (пункт плана работы Контрольно-счетной палаты);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предмет мероприятия;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объек</w:t>
      </w:r>
      <w:proofErr w:type="gramStart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т(</w:t>
      </w:r>
      <w:proofErr w:type="gramEnd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ы) мероприятия;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цель (цели) и вопросы мероприятия;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исследуемый период;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сроки проведения мероприятия;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состав ответственных исполнителей мероприятия;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срок представления отчета (заключения) о результатах экспертно-аналитического мероприятия на рассмотрение председателя Контрольно-счетной палаты.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pacing w:val="-1"/>
          <w:sz w:val="24"/>
          <w:szCs w:val="24"/>
          <w:lang w:eastAsia="ru-RU"/>
        </w:rPr>
        <w:t>4.5. 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процессе проведения э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кспертно-аналитического мероприятия</w:t>
      </w:r>
      <w:r w:rsidRPr="00AD70C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 его программу могут быть внесены изменения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утверждаемые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в соответствии с порядком, которым данная программа утверждалась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4.6.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 После утверждения программы проведения экспертно-аналитического мероприятия при необходимости осуществляется подготовка р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абочего плана  (Приложение 2) проведения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экспертно-аналитического мероприятия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Рабочий план проведения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экспертно-аналитического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4.7.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3) о проведении экспертно-аналитического мероприятия на данных объектах.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К уведомлению могут прилагаться: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AD70C0" w:rsidRPr="00AD70C0" w:rsidRDefault="00AD70C0" w:rsidP="00AD70C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70C0" w:rsidRPr="00AD70C0" w:rsidRDefault="00AD70C0" w:rsidP="00AD70C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5. Проведение экспертно-аналитического мероприятия </w:t>
      </w:r>
    </w:p>
    <w:p w:rsidR="00AD70C0" w:rsidRPr="00AD70C0" w:rsidRDefault="00AD70C0" w:rsidP="00AD70C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 оформление его результатов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ru-RU"/>
        </w:rPr>
      </w:pP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ru-RU"/>
        </w:rPr>
        <w:t>5.1.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 Экспертно-аналитическое мероприятие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pacing w:val="-1"/>
          <w:sz w:val="24"/>
          <w:szCs w:val="24"/>
          <w:lang w:eastAsia="ru-RU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осуществляется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AD70C0"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  <w:t>и зафиксированных в его рабочей документации.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Контрольно-счетной палаты, участвующими в данном мероприятии, и включается в состав </w:t>
      </w:r>
      <w:r w:rsidRPr="00AD70C0"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  <w:t xml:space="preserve">рабочей документации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мероприятия</w:t>
      </w:r>
      <w:r w:rsidRPr="00AD70C0">
        <w:rPr>
          <w:rFonts w:ascii="PT Astra Serif" w:eastAsia="Times New Roman" w:hAnsi="PT Astra Serif" w:cs="Times New Roman"/>
          <w:iCs/>
          <w:spacing w:val="3"/>
          <w:sz w:val="24"/>
          <w:szCs w:val="24"/>
          <w:lang w:eastAsia="ru-RU"/>
        </w:rPr>
        <w:t>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5.4.</w:t>
      </w:r>
      <w:r w:rsidRPr="00AD70C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 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4), который должен содержать:</w:t>
      </w:r>
    </w:p>
    <w:p w:rsidR="00AD70C0" w:rsidRPr="00AD70C0" w:rsidRDefault="00AD70C0" w:rsidP="00AD70C0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AD70C0" w:rsidRPr="00AD70C0" w:rsidRDefault="00AD70C0" w:rsidP="00AD70C0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proofErr w:type="gramStart"/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  <w:proofErr w:type="gramEnd"/>
    </w:p>
    <w:p w:rsidR="00AD70C0" w:rsidRP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AD70C0" w:rsidRP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AD70C0" w:rsidRPr="00AD70C0" w:rsidRDefault="00AD70C0" w:rsidP="00AD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Кроме того, при необходимости отчет (заключение) может содержать приложения.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color w:val="000000"/>
          <w:sz w:val="24"/>
          <w:szCs w:val="24"/>
          <w:lang w:eastAsia="ru-RU"/>
        </w:rPr>
        <w:t>5.5. При подготовке отчета (заключения) о результатах экспертно-аналитического мероприятия следует</w:t>
      </w:r>
      <w:r w:rsidRPr="00AD70C0">
        <w:rPr>
          <w:rFonts w:ascii="PT Astra Serif" w:eastAsia="Times New Roman" w:hAnsi="PT Astra Serif" w:cs="Times New Roman"/>
          <w:bCs/>
          <w:snapToGrid w:val="0"/>
          <w:color w:val="000000"/>
          <w:sz w:val="24"/>
          <w:szCs w:val="24"/>
          <w:lang w:eastAsia="ru-RU"/>
        </w:rPr>
        <w:t xml:space="preserve"> руководствоваться следующими требованиями: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 xml:space="preserve">- отчет (заключение) должен включать только ту информацию, заключения и выводы, которые подтверждаются материалами </w:t>
      </w: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рабочей документации мероприятия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выводы в отчете (заключении) должны </w:t>
      </w:r>
      <w:bookmarkStart w:id="1" w:name="OCRUncertain322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быть аргументированными</w:t>
      </w:r>
      <w:bookmarkEnd w:id="1"/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 отчете (заключении) необходимо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AD70C0" w:rsidRPr="00AD70C0" w:rsidRDefault="00AD70C0" w:rsidP="00AD70C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>5.6. Содержание о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тчета (заключения) о результатах экспертно-аналитического мероприятия</w:t>
      </w:r>
      <w:r w:rsidRPr="00AD70C0">
        <w:rPr>
          <w:rFonts w:ascii="PT Astra Serif" w:eastAsia="Times New Roman" w:hAnsi="PT Astra Serif" w:cs="Times New Roman"/>
          <w:bCs/>
          <w:snapToGrid w:val="0"/>
          <w:sz w:val="24"/>
          <w:szCs w:val="24"/>
          <w:lang w:eastAsia="ru-RU"/>
        </w:rPr>
        <w:t xml:space="preserve"> </w:t>
      </w:r>
      <w:r w:rsidRPr="00AD70C0"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  <w:t>должно соответствовать:</w:t>
      </w:r>
    </w:p>
    <w:p w:rsidR="00AD70C0" w:rsidRPr="00AD70C0" w:rsidRDefault="00AD70C0" w:rsidP="00AD70C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требованиям Регламента Контрольно-счетной палаты. Стандарта и иных документов Контрольно-счетной палаты;</w:t>
      </w:r>
    </w:p>
    <w:p w:rsidR="00AD70C0" w:rsidRPr="00AD70C0" w:rsidRDefault="00AD70C0" w:rsidP="00AD70C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исходной постановке задачи, которая сформулирована в наименовании экспертно-аналитического мероприятия в плане работы Контрольно-счетной палаты;</w:t>
      </w:r>
    </w:p>
    <w:p w:rsidR="00AD70C0" w:rsidRPr="00AD70C0" w:rsidRDefault="00AD70C0" w:rsidP="00AD70C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программе проведения экспертно-аналитического мероприятия;</w:t>
      </w:r>
    </w:p>
    <w:p w:rsidR="00AD70C0" w:rsidRPr="00AD70C0" w:rsidRDefault="00AD70C0" w:rsidP="00AD70C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- рабочей документации мероприятия.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5.7. Подготовку отчета (заключения) о результатах экспертно-аналитического мероприятия организует должностное лицо Контрольно-счетной палаты, ответственное за проведение экспертно-аналитического мероприятия. </w:t>
      </w:r>
    </w:p>
    <w:p w:rsidR="00AD70C0" w:rsidRPr="00AD70C0" w:rsidRDefault="00AD70C0" w:rsidP="00AD70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(заключение) о результатах экспертно-аналитического мероприятия вносится на рассмотрение председателю Контрольно-счетной палаты.</w:t>
      </w:r>
    </w:p>
    <w:p w:rsidR="00AD70C0" w:rsidRPr="00AD70C0" w:rsidRDefault="00AD70C0" w:rsidP="00AD70C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70C0">
        <w:rPr>
          <w:rFonts w:ascii="PT Astra Serif" w:eastAsia="Times New Roman" w:hAnsi="PT Astra Serif" w:cs="Times New Roman"/>
          <w:sz w:val="24"/>
          <w:szCs w:val="24"/>
          <w:lang w:eastAsia="ru-RU"/>
        </w:rPr>
        <w:t>5.8. Одновременно с отчетом (заключением) о результатах экспертно-аналитического мероприятия могут подготавливаться проекты информационных писем в органы местного самоуправления.</w:t>
      </w:r>
    </w:p>
    <w:p w:rsidR="00847709" w:rsidRDefault="00AD70C0">
      <w:bookmarkStart w:id="2" w:name="_GoBack"/>
      <w:bookmarkEnd w:id="2"/>
    </w:p>
    <w:sectPr w:rsidR="00847709" w:rsidSect="009B71E6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566" w:bottom="1135" w:left="1418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AD70C0" w:rsidP="003622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AD70C0" w:rsidP="005074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AD70C0" w:rsidP="00D07456">
    <w:pPr>
      <w:pStyle w:val="a5"/>
      <w:ind w:right="36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Default="00AD70C0" w:rsidP="00362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0FE" w:rsidRDefault="00AD70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FE" w:rsidRPr="009B71E6" w:rsidRDefault="00AD70C0" w:rsidP="00E73FF2">
    <w:pPr>
      <w:pStyle w:val="a3"/>
      <w:framePr w:wrap="around" w:vAnchor="text" w:hAnchor="margin" w:xAlign="center" w:y="1"/>
      <w:rPr>
        <w:rStyle w:val="a7"/>
        <w:rFonts w:ascii="PT Astra Serif" w:hAnsi="PT Astra Serif"/>
        <w:sz w:val="24"/>
        <w:szCs w:val="24"/>
      </w:rPr>
    </w:pPr>
    <w:r w:rsidRPr="009B71E6">
      <w:rPr>
        <w:rStyle w:val="a7"/>
        <w:rFonts w:ascii="PT Astra Serif" w:hAnsi="PT Astra Serif"/>
        <w:sz w:val="24"/>
        <w:szCs w:val="24"/>
      </w:rPr>
      <w:fldChar w:fldCharType="begin"/>
    </w:r>
    <w:r w:rsidRPr="009B71E6">
      <w:rPr>
        <w:rStyle w:val="a7"/>
        <w:rFonts w:ascii="PT Astra Serif" w:hAnsi="PT Astra Serif"/>
        <w:sz w:val="24"/>
        <w:szCs w:val="24"/>
      </w:rPr>
      <w:instrText xml:space="preserve">PAGE  </w:instrText>
    </w:r>
    <w:r w:rsidRPr="009B71E6">
      <w:rPr>
        <w:rStyle w:val="a7"/>
        <w:rFonts w:ascii="PT Astra Serif" w:hAnsi="PT Astra Serif"/>
        <w:sz w:val="24"/>
        <w:szCs w:val="24"/>
      </w:rPr>
      <w:fldChar w:fldCharType="separate"/>
    </w:r>
    <w:r>
      <w:rPr>
        <w:rStyle w:val="a7"/>
        <w:rFonts w:ascii="PT Astra Serif" w:hAnsi="PT Astra Serif"/>
        <w:noProof/>
        <w:sz w:val="24"/>
        <w:szCs w:val="24"/>
      </w:rPr>
      <w:t>8</w:t>
    </w:r>
    <w:r w:rsidRPr="009B71E6">
      <w:rPr>
        <w:rStyle w:val="a7"/>
        <w:rFonts w:ascii="PT Astra Serif" w:hAnsi="PT Astra Serif"/>
        <w:sz w:val="24"/>
        <w:szCs w:val="24"/>
      </w:rPr>
      <w:fldChar w:fldCharType="end"/>
    </w:r>
  </w:p>
  <w:p w:rsidR="002E30FE" w:rsidRDefault="00AD70C0" w:rsidP="00362239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F"/>
    <w:rsid w:val="00157630"/>
    <w:rsid w:val="008706FC"/>
    <w:rsid w:val="00AD70C0"/>
    <w:rsid w:val="00B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0C0"/>
  </w:style>
  <w:style w:type="paragraph" w:styleId="a5">
    <w:name w:val="footer"/>
    <w:basedOn w:val="a"/>
    <w:link w:val="a6"/>
    <w:uiPriority w:val="99"/>
    <w:semiHidden/>
    <w:unhideWhenUsed/>
    <w:rsid w:val="00AD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0C0"/>
  </w:style>
  <w:style w:type="character" w:styleId="a7">
    <w:name w:val="page number"/>
    <w:rsid w:val="00AD70C0"/>
    <w:rPr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0C0"/>
  </w:style>
  <w:style w:type="paragraph" w:styleId="a5">
    <w:name w:val="footer"/>
    <w:basedOn w:val="a"/>
    <w:link w:val="a6"/>
    <w:uiPriority w:val="99"/>
    <w:semiHidden/>
    <w:unhideWhenUsed/>
    <w:rsid w:val="00AD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0C0"/>
  </w:style>
  <w:style w:type="character" w:styleId="a7">
    <w:name w:val="page number"/>
    <w:rsid w:val="00AD70C0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Карпенко</dc:creator>
  <cp:keywords/>
  <dc:description/>
  <cp:lastModifiedBy>Игорь Карпенко</cp:lastModifiedBy>
  <cp:revision>2</cp:revision>
  <dcterms:created xsi:type="dcterms:W3CDTF">2021-06-30T11:17:00Z</dcterms:created>
  <dcterms:modified xsi:type="dcterms:W3CDTF">2021-06-30T11:18:00Z</dcterms:modified>
</cp:coreProperties>
</file>